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2D1297">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45793C" w:rsidRPr="0045793C">
        <w:t>R4-2114519</w:t>
      </w:r>
    </w:p>
    <w:p w:rsidR="00675C27" w:rsidRPr="00444A16" w:rsidRDefault="00C168DB" w:rsidP="00F71A33">
      <w:pPr>
        <w:pStyle w:val="a1"/>
        <w:rPr>
          <w:rFonts w:eastAsia="宋体"/>
          <w:lang w:eastAsia="zh-CN"/>
        </w:rPr>
      </w:pPr>
      <w:r w:rsidRPr="00C168DB">
        <w:rPr>
          <w:rFonts w:eastAsia="宋体"/>
          <w:lang w:eastAsia="zh-CN"/>
        </w:rPr>
        <w:t>Electronic Meeting, August 16-27,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66E2C">
        <w:rPr>
          <w:rFonts w:ascii="Arial" w:hAnsi="Arial" w:cs="Arial"/>
          <w:sz w:val="22"/>
        </w:rPr>
        <w:t>Link level evaluation</w:t>
      </w:r>
      <w:r w:rsidR="00B9629D" w:rsidRPr="00B9629D">
        <w:rPr>
          <w:rFonts w:ascii="Arial" w:hAnsi="Arial" w:cs="Arial"/>
          <w:sz w:val="22"/>
        </w:rPr>
        <w:t xml:space="preserve"> for Pi/2 BPSK</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5793C" w:rsidRPr="0045793C">
        <w:rPr>
          <w:rFonts w:ascii="Arial" w:hAnsi="Arial" w:cs="Arial"/>
          <w:sz w:val="22"/>
        </w:rPr>
        <w:t>10.6.5</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CF7446" w:rsidP="009A089A">
      <w:r>
        <w:t>Link level simulation is one of the s</w:t>
      </w:r>
      <w:r w:rsidR="007A0554">
        <w:t>tudy aspect based on discussion</w:t>
      </w:r>
      <w:r w:rsidR="00B05213">
        <w:t xml:space="preserve"> in last RAN4 meeting [1]</w:t>
      </w:r>
      <w:r w:rsidR="00B9629D">
        <w:t>:</w:t>
      </w:r>
    </w:p>
    <w:p w:rsidR="00CF7446" w:rsidRDefault="00170DC2" w:rsidP="009A089A">
      <w:r>
        <w:t>The Table 1 below is the recommended parameter list for link level simulation.</w:t>
      </w:r>
    </w:p>
    <w:p w:rsidR="00170DC2" w:rsidRPr="00170DC2" w:rsidRDefault="00170DC2" w:rsidP="00170DC2">
      <w:pPr>
        <w:jc w:val="center"/>
        <w:rPr>
          <w:rFonts w:ascii="Arial" w:hAnsi="Arial" w:cs="Arial"/>
          <w:b/>
          <w:lang w:val="en-US"/>
        </w:rPr>
      </w:pPr>
      <w:r>
        <w:rPr>
          <w:rFonts w:ascii="Arial" w:hAnsi="Arial" w:cs="Arial"/>
          <w:b/>
          <w:lang w:val="en-US"/>
        </w:rPr>
        <w:t>Table 1</w:t>
      </w:r>
      <w:r w:rsidRPr="00170DC2">
        <w:rPr>
          <w:rFonts w:ascii="Arial" w:hAnsi="Arial" w:cs="Arial"/>
          <w:b/>
          <w:lang w:val="en-US"/>
        </w:rPr>
        <w:t>: Recommended Parameter list</w:t>
      </w:r>
    </w:p>
    <w:tbl>
      <w:tblPr>
        <w:tblStyle w:val="GridTable5Dark-Accent3"/>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20"/>
        <w:gridCol w:w="3896"/>
      </w:tblGrid>
      <w:tr w:rsidR="00CF7446" w:rsidRPr="00CF7446" w:rsidTr="00CF7446">
        <w:trPr>
          <w:cnfStyle w:val="100000000000" w:firstRow="1" w:lastRow="0" w:firstColumn="0" w:lastColumn="0" w:oddVBand="0" w:evenVBand="0" w:oddHBand="0" w:evenHBand="0" w:firstRowFirstColumn="0" w:firstRowLastColumn="0" w:lastRowFirstColumn="0" w:lastRowLastColumn="0"/>
          <w:trHeight w:val="227"/>
          <w:jc w:val="center"/>
        </w:trPr>
        <w:tc>
          <w:tcPr>
            <w:tcW w:w="2620" w:type="dxa"/>
            <w:tcBorders>
              <w:top w:val="none" w:sz="0" w:space="0" w:color="auto"/>
              <w:left w:val="none" w:sz="0" w:space="0" w:color="auto"/>
              <w:right w:val="none" w:sz="0" w:space="0" w:color="auto"/>
            </w:tcBorders>
            <w:noWrap/>
            <w:hideMark/>
          </w:tcPr>
          <w:p w:rsidR="00CF7446" w:rsidRPr="00CF7446" w:rsidRDefault="00CF7446" w:rsidP="00CF7446">
            <w:pPr>
              <w:overflowPunct/>
              <w:autoSpaceDE/>
              <w:autoSpaceDN/>
              <w:adjustRightInd/>
              <w:spacing w:after="0"/>
              <w:textAlignment w:val="auto"/>
              <w:rPr>
                <w:rFonts w:ascii="Calibri" w:eastAsia="Times New Roman" w:hAnsi="Calibri" w:cs="Calibri"/>
                <w:sz w:val="18"/>
                <w:szCs w:val="22"/>
                <w:lang w:val="en-US"/>
              </w:rPr>
            </w:pPr>
            <w:r w:rsidRPr="00CF7446">
              <w:rPr>
                <w:rFonts w:ascii="Calibri" w:eastAsia="Times New Roman" w:hAnsi="Calibri" w:cs="Calibri"/>
                <w:sz w:val="18"/>
                <w:szCs w:val="22"/>
                <w:lang w:val="en-US"/>
              </w:rPr>
              <w:t>Parameter</w:t>
            </w:r>
          </w:p>
        </w:tc>
        <w:tc>
          <w:tcPr>
            <w:tcW w:w="3896" w:type="dxa"/>
            <w:tcBorders>
              <w:top w:val="none" w:sz="0" w:space="0" w:color="auto"/>
              <w:left w:val="none" w:sz="0" w:space="0" w:color="auto"/>
              <w:right w:val="none" w:sz="0" w:space="0" w:color="auto"/>
            </w:tcBorders>
            <w:noWrap/>
            <w:hideMark/>
          </w:tcPr>
          <w:p w:rsidR="00CF7446" w:rsidRPr="00CF7446" w:rsidRDefault="00CF7446" w:rsidP="00CF7446">
            <w:pPr>
              <w:overflowPunct/>
              <w:autoSpaceDE/>
              <w:autoSpaceDN/>
              <w:adjustRightInd/>
              <w:spacing w:after="0"/>
              <w:textAlignment w:val="auto"/>
              <w:rPr>
                <w:rFonts w:ascii="Calibri" w:eastAsia="Times New Roman" w:hAnsi="Calibri" w:cs="Calibri"/>
                <w:sz w:val="18"/>
                <w:szCs w:val="22"/>
                <w:lang w:val="en-US"/>
              </w:rPr>
            </w:pPr>
            <w:r w:rsidRPr="00CF7446">
              <w:rPr>
                <w:rFonts w:ascii="Calibri" w:eastAsia="Times New Roman" w:hAnsi="Calibri" w:cs="Calibri"/>
                <w:sz w:val="18"/>
                <w:szCs w:val="22"/>
                <w:lang w:val="en-US"/>
              </w:rPr>
              <w:t>Value</w:t>
            </w:r>
          </w:p>
        </w:tc>
      </w:tr>
      <w:tr w:rsidR="00CF7446" w:rsidRPr="00CF7446" w:rsidTr="00CF7446">
        <w:trPr>
          <w:cnfStyle w:val="000000100000" w:firstRow="0" w:lastRow="0" w:firstColumn="0" w:lastColumn="0" w:oddVBand="0" w:evenVBand="0" w:oddHBand="1" w:evenHBand="0" w:firstRowFirstColumn="0" w:firstRowLastColumn="0" w:lastRowFirstColumn="0" w:lastRowLastColumn="0"/>
          <w:trHeight w:val="227"/>
          <w:jc w:val="center"/>
        </w:trPr>
        <w:tc>
          <w:tcPr>
            <w:tcW w:w="2620"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Pulse shaping filter</w:t>
            </w:r>
          </w:p>
        </w:tc>
        <w:tc>
          <w:tcPr>
            <w:tcW w:w="3896"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Filter configuration conforms to 38.101-1</w:t>
            </w:r>
          </w:p>
        </w:tc>
      </w:tr>
      <w:tr w:rsidR="00CF7446" w:rsidRPr="00CF7446" w:rsidTr="00CF7446">
        <w:trPr>
          <w:trHeight w:val="227"/>
          <w:jc w:val="center"/>
        </w:trPr>
        <w:tc>
          <w:tcPr>
            <w:tcW w:w="2620"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Channel model</w:t>
            </w:r>
          </w:p>
        </w:tc>
        <w:tc>
          <w:tcPr>
            <w:tcW w:w="3896"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TDL-C300ns, TDL-A30, TDL-D30</w:t>
            </w:r>
          </w:p>
        </w:tc>
      </w:tr>
      <w:tr w:rsidR="00CF7446" w:rsidRPr="00CF7446" w:rsidTr="00CF7446">
        <w:trPr>
          <w:cnfStyle w:val="000000100000" w:firstRow="0" w:lastRow="0" w:firstColumn="0" w:lastColumn="0" w:oddVBand="0" w:evenVBand="0" w:oddHBand="1" w:evenHBand="0" w:firstRowFirstColumn="0" w:firstRowLastColumn="0" w:lastRowFirstColumn="0" w:lastRowLastColumn="0"/>
          <w:trHeight w:val="227"/>
          <w:jc w:val="center"/>
        </w:trPr>
        <w:tc>
          <w:tcPr>
            <w:tcW w:w="2620"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MCS</w:t>
            </w:r>
          </w:p>
        </w:tc>
        <w:tc>
          <w:tcPr>
            <w:tcW w:w="3896"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0</w:t>
            </w:r>
          </w:p>
        </w:tc>
      </w:tr>
      <w:tr w:rsidR="00CF7446" w:rsidRPr="00CF7446" w:rsidTr="00CF7446">
        <w:trPr>
          <w:trHeight w:val="227"/>
          <w:jc w:val="center"/>
        </w:trPr>
        <w:tc>
          <w:tcPr>
            <w:tcW w:w="2620"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Code rate</w:t>
            </w:r>
          </w:p>
        </w:tc>
        <w:tc>
          <w:tcPr>
            <w:tcW w:w="3896"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1/8, 1/4, 1/3, 1/2, 2/3</w:t>
            </w:r>
          </w:p>
        </w:tc>
      </w:tr>
      <w:tr w:rsidR="00CF7446" w:rsidRPr="00CF7446" w:rsidTr="00CF7446">
        <w:trPr>
          <w:cnfStyle w:val="000000100000" w:firstRow="0" w:lastRow="0" w:firstColumn="0" w:lastColumn="0" w:oddVBand="0" w:evenVBand="0" w:oddHBand="1" w:evenHBand="0" w:firstRowFirstColumn="0" w:firstRowLastColumn="0" w:lastRowFirstColumn="0" w:lastRowLastColumn="0"/>
          <w:trHeight w:val="227"/>
          <w:jc w:val="center"/>
        </w:trPr>
        <w:tc>
          <w:tcPr>
            <w:tcW w:w="2620"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Waveform</w:t>
            </w:r>
          </w:p>
        </w:tc>
        <w:tc>
          <w:tcPr>
            <w:tcW w:w="3896"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DFTS OFDM with pi/2 BPSK filtered by same filter as for Rel-16 DMRS</w:t>
            </w:r>
          </w:p>
        </w:tc>
      </w:tr>
      <w:tr w:rsidR="00CF7446" w:rsidRPr="00CF7446" w:rsidTr="00CF7446">
        <w:trPr>
          <w:trHeight w:val="227"/>
          <w:jc w:val="center"/>
        </w:trPr>
        <w:tc>
          <w:tcPr>
            <w:tcW w:w="2620"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 of DMRS symbols/slot</w:t>
            </w:r>
          </w:p>
        </w:tc>
        <w:tc>
          <w:tcPr>
            <w:tcW w:w="3896"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2</w:t>
            </w:r>
          </w:p>
        </w:tc>
      </w:tr>
      <w:tr w:rsidR="00CF7446" w:rsidRPr="00CF7446" w:rsidTr="00CF7446">
        <w:trPr>
          <w:cnfStyle w:val="000000100000" w:firstRow="0" w:lastRow="0" w:firstColumn="0" w:lastColumn="0" w:oddVBand="0" w:evenVBand="0" w:oddHBand="1" w:evenHBand="0" w:firstRowFirstColumn="0" w:firstRowLastColumn="0" w:lastRowFirstColumn="0" w:lastRowLastColumn="0"/>
          <w:trHeight w:val="227"/>
          <w:jc w:val="center"/>
        </w:trPr>
        <w:tc>
          <w:tcPr>
            <w:tcW w:w="2620"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 of data symbols/slot</w:t>
            </w:r>
          </w:p>
        </w:tc>
        <w:tc>
          <w:tcPr>
            <w:tcW w:w="3896"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12</w:t>
            </w:r>
          </w:p>
        </w:tc>
      </w:tr>
      <w:tr w:rsidR="00CF7446" w:rsidRPr="00CF7446" w:rsidTr="00CF7446">
        <w:trPr>
          <w:trHeight w:val="227"/>
          <w:jc w:val="center"/>
        </w:trPr>
        <w:tc>
          <w:tcPr>
            <w:tcW w:w="2620"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 of RBs</w:t>
            </w:r>
          </w:p>
        </w:tc>
        <w:tc>
          <w:tcPr>
            <w:tcW w:w="3896"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[2, 4, 8, 16, 64]</w:t>
            </w:r>
          </w:p>
        </w:tc>
      </w:tr>
      <w:tr w:rsidR="00CF7446" w:rsidRPr="00CF7446" w:rsidTr="00CF7446">
        <w:trPr>
          <w:cnfStyle w:val="000000100000" w:firstRow="0" w:lastRow="0" w:firstColumn="0" w:lastColumn="0" w:oddVBand="0" w:evenVBand="0" w:oddHBand="1" w:evenHBand="0" w:firstRowFirstColumn="0" w:firstRowLastColumn="0" w:lastRowFirstColumn="0" w:lastRowLastColumn="0"/>
          <w:trHeight w:val="227"/>
          <w:jc w:val="center"/>
        </w:trPr>
        <w:tc>
          <w:tcPr>
            <w:tcW w:w="2620"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TX/RX configuration</w:t>
            </w:r>
          </w:p>
        </w:tc>
        <w:tc>
          <w:tcPr>
            <w:tcW w:w="3896"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1TX/4RX</w:t>
            </w:r>
          </w:p>
        </w:tc>
      </w:tr>
      <w:tr w:rsidR="00CF7446" w:rsidRPr="00CF7446" w:rsidTr="00CF7446">
        <w:trPr>
          <w:trHeight w:val="227"/>
          <w:jc w:val="center"/>
        </w:trPr>
        <w:tc>
          <w:tcPr>
            <w:tcW w:w="2620"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BW</w:t>
            </w:r>
          </w:p>
        </w:tc>
        <w:tc>
          <w:tcPr>
            <w:tcW w:w="3896"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100 MHz</w:t>
            </w:r>
          </w:p>
        </w:tc>
      </w:tr>
      <w:tr w:rsidR="00CF7446" w:rsidRPr="00CF7446" w:rsidTr="00CF7446">
        <w:trPr>
          <w:cnfStyle w:val="000000100000" w:firstRow="0" w:lastRow="0" w:firstColumn="0" w:lastColumn="0" w:oddVBand="0" w:evenVBand="0" w:oddHBand="1" w:evenHBand="0" w:firstRowFirstColumn="0" w:firstRowLastColumn="0" w:lastRowFirstColumn="0" w:lastRowLastColumn="0"/>
          <w:trHeight w:val="227"/>
          <w:jc w:val="center"/>
        </w:trPr>
        <w:tc>
          <w:tcPr>
            <w:tcW w:w="2620"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UE speed</w:t>
            </w:r>
          </w:p>
        </w:tc>
        <w:tc>
          <w:tcPr>
            <w:tcW w:w="3896"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3 km/h</w:t>
            </w:r>
          </w:p>
        </w:tc>
      </w:tr>
      <w:tr w:rsidR="00CF7446" w:rsidRPr="00CF7446" w:rsidTr="00CF7446">
        <w:trPr>
          <w:trHeight w:val="227"/>
          <w:jc w:val="center"/>
        </w:trPr>
        <w:tc>
          <w:tcPr>
            <w:tcW w:w="2620"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 xml:space="preserve">SCS </w:t>
            </w:r>
          </w:p>
        </w:tc>
        <w:tc>
          <w:tcPr>
            <w:tcW w:w="3896"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30 kHz</w:t>
            </w:r>
          </w:p>
        </w:tc>
      </w:tr>
      <w:tr w:rsidR="00CF7446" w:rsidRPr="00CF7446" w:rsidTr="00CF7446">
        <w:trPr>
          <w:cnfStyle w:val="000000100000" w:firstRow="0" w:lastRow="0" w:firstColumn="0" w:lastColumn="0" w:oddVBand="0" w:evenVBand="0" w:oddHBand="1" w:evenHBand="0" w:firstRowFirstColumn="0" w:firstRowLastColumn="0" w:lastRowFirstColumn="0" w:lastRowLastColumn="0"/>
          <w:trHeight w:val="227"/>
          <w:jc w:val="center"/>
        </w:trPr>
        <w:tc>
          <w:tcPr>
            <w:tcW w:w="2620"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HARQ configuration</w:t>
            </w:r>
          </w:p>
        </w:tc>
        <w:tc>
          <w:tcPr>
            <w:tcW w:w="3896" w:type="dxa"/>
            <w:noWrap/>
            <w:hideMark/>
          </w:tcPr>
          <w:p w:rsidR="00CF7446" w:rsidRPr="00CF7446" w:rsidRDefault="00CF7446" w:rsidP="00CF7446">
            <w:pPr>
              <w:overflowPunct/>
              <w:autoSpaceDE/>
              <w:autoSpaceDN/>
              <w:adjustRightInd/>
              <w:spacing w:after="0"/>
              <w:textAlignment w:val="auto"/>
              <w:rPr>
                <w:rFonts w:ascii="Calibri" w:eastAsia="Times New Roman" w:hAnsi="Calibri" w:cs="Calibri"/>
                <w:color w:val="000000"/>
                <w:sz w:val="18"/>
                <w:szCs w:val="22"/>
                <w:lang w:val="en-US"/>
              </w:rPr>
            </w:pPr>
            <w:r w:rsidRPr="00CF7446">
              <w:rPr>
                <w:rFonts w:ascii="Calibri" w:eastAsia="Times New Roman" w:hAnsi="Calibri" w:cs="Calibri"/>
                <w:color w:val="000000"/>
                <w:sz w:val="18"/>
                <w:szCs w:val="22"/>
                <w:lang w:val="en-US"/>
              </w:rPr>
              <w:t>No retransmissions</w:t>
            </w:r>
          </w:p>
        </w:tc>
      </w:tr>
    </w:tbl>
    <w:p w:rsidR="009A089A" w:rsidRDefault="00B9629D" w:rsidP="00170DC2">
      <w:pPr>
        <w:spacing w:before="240"/>
      </w:pPr>
      <w:r>
        <w:rPr>
          <w:lang w:val="x-none"/>
        </w:rPr>
        <w:t xml:space="preserve">This contribution provides the </w:t>
      </w:r>
      <w:r w:rsidR="00170DC2">
        <w:rPr>
          <w:lang w:val="x-none"/>
        </w:rPr>
        <w:t>our simulation results and corresponding proposals for the evaluation</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170DC2" w:rsidP="00170DC2">
      <w:pPr>
        <w:pStyle w:val="Heading2"/>
        <w:spacing w:after="240"/>
        <w:rPr>
          <w:lang w:val="en-US"/>
        </w:rPr>
      </w:pPr>
      <w:r>
        <w:rPr>
          <w:lang w:val="en-US"/>
        </w:rPr>
        <w:t>Performance comparison of shaping filters</w:t>
      </w:r>
    </w:p>
    <w:p w:rsidR="00537640" w:rsidRDefault="00537640" w:rsidP="00537640">
      <w:pPr>
        <w:rPr>
          <w:kern w:val="2"/>
        </w:rPr>
      </w:pPr>
      <w:r>
        <w:rPr>
          <w:kern w:val="2"/>
        </w:rPr>
        <w:t>With the simulation assumptions in Table 1, Figure 1 show</w:t>
      </w:r>
      <w:r w:rsidR="00FA7244">
        <w:rPr>
          <w:kern w:val="2"/>
        </w:rPr>
        <w:t>s</w:t>
      </w:r>
      <w:r>
        <w:rPr>
          <w:kern w:val="2"/>
        </w:rPr>
        <w:t xml:space="preserve"> the </w:t>
      </w:r>
      <w:r>
        <w:rPr>
          <w:rFonts w:hint="eastAsia"/>
          <w:kern w:val="2"/>
        </w:rPr>
        <w:t xml:space="preserve">BLER performance </w:t>
      </w:r>
      <w:r>
        <w:rPr>
          <w:kern w:val="2"/>
        </w:rPr>
        <w:t xml:space="preserve">for </w:t>
      </w:r>
      <w:proofErr w:type="spellStart"/>
      <w:r>
        <w:rPr>
          <w:kern w:val="2"/>
        </w:rPr>
        <w:t>NLoS</w:t>
      </w:r>
      <w:proofErr w:type="spellEnd"/>
      <w:r>
        <w:rPr>
          <w:kern w:val="2"/>
        </w:rPr>
        <w:t xml:space="preserve"> channel with narrow (</w:t>
      </w:r>
      <w:r w:rsidR="005E6534">
        <w:rPr>
          <w:kern w:val="2"/>
        </w:rPr>
        <w:t xml:space="preserve">100MHz, </w:t>
      </w:r>
      <w:r>
        <w:rPr>
          <w:kern w:val="2"/>
        </w:rPr>
        <w:t>8 PRB) and large bandwidth</w:t>
      </w:r>
      <w:r>
        <w:rPr>
          <w:rFonts w:hint="eastAsia"/>
          <w:kern w:val="2"/>
        </w:rPr>
        <w:t xml:space="preserve"> allocation </w:t>
      </w:r>
      <w:r>
        <w:rPr>
          <w:kern w:val="2"/>
        </w:rPr>
        <w:t>(</w:t>
      </w:r>
      <w:r w:rsidR="005E6534">
        <w:rPr>
          <w:kern w:val="2"/>
        </w:rPr>
        <w:t xml:space="preserve">100MHz, </w:t>
      </w:r>
      <w:r>
        <w:rPr>
          <w:kern w:val="2"/>
        </w:rPr>
        <w:t xml:space="preserve">64 PRB), respectively.  </w:t>
      </w:r>
    </w:p>
    <w:p w:rsidR="00537640" w:rsidRDefault="00537640" w:rsidP="00537640">
      <w:pPr>
        <w:jc w:val="center"/>
        <w:rPr>
          <w:noProof/>
        </w:rPr>
      </w:pPr>
      <w:r>
        <w:rPr>
          <w:noProof/>
          <w:lang w:val="en-US"/>
        </w:rPr>
        <w:lastRenderedPageBreak/>
        <w:drawing>
          <wp:inline distT="0" distB="0" distL="0" distR="0" wp14:anchorId="51BFDF84" wp14:editId="48EEBDBE">
            <wp:extent cx="2570840" cy="2128851"/>
            <wp:effectExtent l="0" t="0" r="1270" b="508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22373" cy="2171525"/>
                    </a:xfrm>
                    <a:prstGeom prst="rect">
                      <a:avLst/>
                    </a:prstGeom>
                  </pic:spPr>
                </pic:pic>
              </a:graphicData>
            </a:graphic>
          </wp:inline>
        </w:drawing>
      </w:r>
      <w:r w:rsidRPr="00537640">
        <w:rPr>
          <w:noProof/>
        </w:rPr>
        <w:t xml:space="preserve"> </w:t>
      </w:r>
      <w:r>
        <w:rPr>
          <w:noProof/>
          <w:lang w:val="en-US"/>
        </w:rPr>
        <w:drawing>
          <wp:inline distT="0" distB="0" distL="0" distR="0" wp14:anchorId="06424675" wp14:editId="37959AC5">
            <wp:extent cx="2347415" cy="2161734"/>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7735" cy="2226491"/>
                    </a:xfrm>
                    <a:prstGeom prst="rect">
                      <a:avLst/>
                    </a:prstGeom>
                  </pic:spPr>
                </pic:pic>
              </a:graphicData>
            </a:graphic>
          </wp:inline>
        </w:drawing>
      </w:r>
    </w:p>
    <w:p w:rsidR="00537640" w:rsidRPr="00613191" w:rsidRDefault="00537640" w:rsidP="00537640">
      <w:pPr>
        <w:numPr>
          <w:ilvl w:val="0"/>
          <w:numId w:val="45"/>
        </w:numPr>
        <w:overflowPunct/>
        <w:snapToGrid w:val="0"/>
        <w:spacing w:after="120"/>
        <w:jc w:val="center"/>
        <w:textAlignment w:val="auto"/>
      </w:pPr>
      <w:r>
        <w:t>Small RB allocation (8PRB)</w:t>
      </w:r>
      <w:r>
        <w:tab/>
      </w:r>
      <w:r>
        <w:tab/>
      </w:r>
      <w:r>
        <w:tab/>
      </w:r>
      <w:r>
        <w:tab/>
      </w:r>
      <w:r>
        <w:tab/>
      </w:r>
      <w:r>
        <w:tab/>
        <w:t>(b) Large RB allocation (64PRB)</w:t>
      </w:r>
    </w:p>
    <w:p w:rsidR="00537640" w:rsidRPr="00537640" w:rsidRDefault="00537640" w:rsidP="00537640">
      <w:pPr>
        <w:jc w:val="center"/>
        <w:rPr>
          <w:rFonts w:ascii="Arial" w:hAnsi="Arial" w:cs="Arial"/>
          <w:b/>
          <w:lang w:val="en-US"/>
        </w:rPr>
      </w:pPr>
      <w:r>
        <w:rPr>
          <w:rFonts w:ascii="Arial" w:hAnsi="Arial" w:cs="Arial"/>
          <w:b/>
          <w:lang w:val="en-US"/>
        </w:rPr>
        <w:t xml:space="preserve">Figure 1: </w:t>
      </w:r>
      <w:r w:rsidRPr="00537640">
        <w:rPr>
          <w:rFonts w:ascii="Arial" w:hAnsi="Arial" w:cs="Arial" w:hint="eastAsia"/>
          <w:b/>
          <w:lang w:val="en-US"/>
        </w:rPr>
        <w:t>BLER performance of different</w:t>
      </w:r>
      <w:r>
        <w:rPr>
          <w:rFonts w:ascii="Arial" w:hAnsi="Arial" w:cs="Arial"/>
          <w:b/>
          <w:lang w:val="en-US"/>
        </w:rPr>
        <w:t xml:space="preserve"> shaping filters</w:t>
      </w:r>
    </w:p>
    <w:p w:rsidR="00537640" w:rsidRDefault="00537640" w:rsidP="00537640">
      <w:pPr>
        <w:rPr>
          <w:kern w:val="2"/>
        </w:rPr>
      </w:pPr>
      <w:r>
        <w:rPr>
          <w:kern w:val="2"/>
        </w:rPr>
        <w:t xml:space="preserve">It can be observed that, in </w:t>
      </w:r>
      <w:proofErr w:type="spellStart"/>
      <w:r>
        <w:rPr>
          <w:kern w:val="2"/>
        </w:rPr>
        <w:t>NLoS</w:t>
      </w:r>
      <w:proofErr w:type="spellEnd"/>
      <w:r>
        <w:rPr>
          <w:kern w:val="2"/>
        </w:rPr>
        <w:t xml:space="preserve"> channel according to the simulation assumptions, FDSS causes non-negligible demodulation loss especially for narrow bandwidth case, however, the performance for different shaping filter implementations are similar.</w:t>
      </w:r>
    </w:p>
    <w:p w:rsidR="00537640" w:rsidRDefault="00537640" w:rsidP="00537640">
      <w:pPr>
        <w:rPr>
          <w:kern w:val="2"/>
        </w:rPr>
      </w:pPr>
      <w:r>
        <w:rPr>
          <w:kern w:val="2"/>
        </w:rPr>
        <w:t>C</w:t>
      </w:r>
      <w:r>
        <w:rPr>
          <w:rFonts w:hint="eastAsia"/>
          <w:kern w:val="2"/>
        </w:rPr>
        <w:t xml:space="preserve">onceptually, the channel non-flatness caused by channel fading or FDSS filter will bring negative impact on equalization due to the noise enhancement. </w:t>
      </w:r>
      <w:r>
        <w:rPr>
          <w:kern w:val="2"/>
        </w:rPr>
        <w:t xml:space="preserve">An </w:t>
      </w:r>
      <w:r>
        <w:rPr>
          <w:rFonts w:hint="eastAsia"/>
          <w:kern w:val="2"/>
        </w:rPr>
        <w:t>FDSS filter with</w:t>
      </w:r>
      <w:r>
        <w:rPr>
          <w:kern w:val="2"/>
        </w:rPr>
        <w:t xml:space="preserve"> a</w:t>
      </w:r>
      <w:r>
        <w:rPr>
          <w:rFonts w:hint="eastAsia"/>
          <w:kern w:val="2"/>
        </w:rPr>
        <w:t xml:space="preserve"> relatively flat shape is better in terms of equalization loss. With increasing bandwidth allocation, better </w:t>
      </w:r>
      <w:r>
        <w:rPr>
          <w:kern w:val="2"/>
        </w:rPr>
        <w:t>frequency</w:t>
      </w:r>
      <w:r>
        <w:rPr>
          <w:rFonts w:hint="eastAsia"/>
          <w:kern w:val="2"/>
        </w:rPr>
        <w:t xml:space="preserve"> diversity gain </w:t>
      </w:r>
      <w:r>
        <w:rPr>
          <w:kern w:val="2"/>
        </w:rPr>
        <w:t>may</w:t>
      </w:r>
      <w:r>
        <w:rPr>
          <w:rFonts w:hint="eastAsia"/>
          <w:kern w:val="2"/>
        </w:rPr>
        <w:t xml:space="preserve"> compensate the loss and </w:t>
      </w:r>
      <w:r>
        <w:rPr>
          <w:kern w:val="2"/>
        </w:rPr>
        <w:t>reduce</w:t>
      </w:r>
      <w:r>
        <w:rPr>
          <w:rFonts w:hint="eastAsia"/>
          <w:kern w:val="2"/>
        </w:rPr>
        <w:t xml:space="preserve"> the performance gap between different FDSS filters. </w:t>
      </w:r>
    </w:p>
    <w:p w:rsidR="00537640" w:rsidRDefault="00537640" w:rsidP="00537640">
      <w:pPr>
        <w:rPr>
          <w:kern w:val="2"/>
        </w:rPr>
      </w:pPr>
      <w:r>
        <w:rPr>
          <w:kern w:val="2"/>
        </w:rPr>
        <w:t>In addition, with FDSS filter optimization (e.g. truncated RRC filter), the demodulation performance loss will become smaller. However, the cost of demodulation performance</w:t>
      </w:r>
      <w:r w:rsidRPr="006151A4">
        <w:rPr>
          <w:kern w:val="2"/>
        </w:rPr>
        <w:t xml:space="preserve"> </w:t>
      </w:r>
      <w:r>
        <w:rPr>
          <w:kern w:val="2"/>
        </w:rPr>
        <w:t>improvement is PAPR.</w:t>
      </w:r>
      <w:r>
        <w:rPr>
          <w:rFonts w:hint="eastAsia"/>
          <w:kern w:val="2"/>
        </w:rPr>
        <w:t xml:space="preserve"> </w:t>
      </w:r>
      <w:r>
        <w:rPr>
          <w:kern w:val="2"/>
        </w:rPr>
        <w:t>The FDSS filter with wide main</w:t>
      </w:r>
      <w:r>
        <w:rPr>
          <w:rFonts w:hint="eastAsia"/>
          <w:kern w:val="2"/>
        </w:rPr>
        <w:t>-</w:t>
      </w:r>
      <w:r>
        <w:rPr>
          <w:kern w:val="2"/>
        </w:rPr>
        <w:t>lobe wi</w:t>
      </w:r>
      <w:r>
        <w:rPr>
          <w:rFonts w:hint="eastAsia"/>
          <w:kern w:val="2"/>
        </w:rPr>
        <w:t>d</w:t>
      </w:r>
      <w:r>
        <w:rPr>
          <w:kern w:val="2"/>
        </w:rPr>
        <w:t xml:space="preserve">th is preferred from the receiver </w:t>
      </w:r>
      <w:r>
        <w:rPr>
          <w:rFonts w:hint="eastAsia"/>
          <w:kern w:val="2"/>
        </w:rPr>
        <w:t xml:space="preserve">demodulation </w:t>
      </w:r>
      <w:r>
        <w:rPr>
          <w:kern w:val="2"/>
        </w:rPr>
        <w:t>perspective, while the PAPR improvement of such filter is limited. Therefore, the FDSS filter design is a trade-off between transmitter PAPR and receiver demodulation performance.</w:t>
      </w:r>
    </w:p>
    <w:p w:rsidR="00F95593" w:rsidRPr="00F95593" w:rsidRDefault="00F95593" w:rsidP="00F95593">
      <w:pPr>
        <w:rPr>
          <w:b/>
          <w:kern w:val="2"/>
        </w:rPr>
      </w:pPr>
      <w:r w:rsidRPr="00F95593">
        <w:rPr>
          <w:b/>
          <w:bCs/>
          <w:i/>
        </w:rPr>
        <w:t xml:space="preserve">Observation </w:t>
      </w:r>
      <w:r>
        <w:rPr>
          <w:b/>
          <w:bCs/>
          <w:i/>
        </w:rPr>
        <w:t>1</w:t>
      </w:r>
      <w:r w:rsidRPr="00F95593">
        <w:rPr>
          <w:b/>
          <w:bCs/>
          <w:i/>
        </w:rPr>
        <w:t xml:space="preserve">: </w:t>
      </w:r>
      <w:r>
        <w:rPr>
          <w:b/>
          <w:bCs/>
          <w:i/>
        </w:rPr>
        <w:t>Shaping filter</w:t>
      </w:r>
      <w:r w:rsidRPr="00F95593">
        <w:rPr>
          <w:b/>
          <w:bCs/>
          <w:i/>
        </w:rPr>
        <w:t xml:space="preserve"> schemes suffer from demodulation</w:t>
      </w:r>
      <w:r w:rsidRPr="00F95593">
        <w:rPr>
          <w:rFonts w:hint="eastAsia"/>
          <w:b/>
          <w:bCs/>
          <w:i/>
        </w:rPr>
        <w:t xml:space="preserve"> degradation</w:t>
      </w:r>
      <w:r w:rsidRPr="00F95593">
        <w:rPr>
          <w:b/>
          <w:bCs/>
          <w:i/>
        </w:rPr>
        <w:t xml:space="preserve"> in fading channels, and the performance loss can be alleviated by bandwidth allocation or FDSS filter optimization.</w:t>
      </w:r>
    </w:p>
    <w:p w:rsidR="00F95593" w:rsidRDefault="00F95593" w:rsidP="00F95593">
      <w:pPr>
        <w:rPr>
          <w:b/>
          <w:i/>
          <w:kern w:val="2"/>
        </w:rPr>
      </w:pPr>
      <w:r w:rsidRPr="00F95593">
        <w:rPr>
          <w:b/>
          <w:i/>
          <w:kern w:val="2"/>
        </w:rPr>
        <w:t>Observation 2:</w:t>
      </w:r>
      <w:r w:rsidRPr="00F95593">
        <w:rPr>
          <w:b/>
          <w:kern w:val="2"/>
        </w:rPr>
        <w:t xml:space="preserve"> </w:t>
      </w:r>
      <w:r w:rsidRPr="00F95593">
        <w:rPr>
          <w:b/>
          <w:i/>
          <w:kern w:val="2"/>
        </w:rPr>
        <w:t>The FDSS filter design trades</w:t>
      </w:r>
      <w:r w:rsidRPr="00F95593">
        <w:rPr>
          <w:rFonts w:hint="eastAsia"/>
          <w:b/>
          <w:i/>
          <w:kern w:val="2"/>
        </w:rPr>
        <w:t xml:space="preserve"> </w:t>
      </w:r>
      <w:r w:rsidRPr="00F95593">
        <w:rPr>
          <w:b/>
          <w:i/>
          <w:kern w:val="2"/>
        </w:rPr>
        <w:t>off between the PAPR performance at the transmitter and the receiver demodulation performance.</w:t>
      </w:r>
    </w:p>
    <w:p w:rsidR="00F95593" w:rsidRPr="00F95593" w:rsidRDefault="00F95593" w:rsidP="00F95593">
      <w:pPr>
        <w:rPr>
          <w:b/>
          <w:i/>
          <w:kern w:val="2"/>
        </w:rPr>
      </w:pPr>
      <w:r>
        <w:rPr>
          <w:b/>
          <w:i/>
          <w:kern w:val="2"/>
        </w:rPr>
        <w:t>Observation 3</w:t>
      </w:r>
      <w:r>
        <w:rPr>
          <w:rFonts w:hint="eastAsia"/>
          <w:b/>
          <w:i/>
          <w:kern w:val="2"/>
        </w:rPr>
        <w:t>:</w:t>
      </w:r>
      <w:r>
        <w:rPr>
          <w:b/>
          <w:i/>
          <w:kern w:val="2"/>
        </w:rPr>
        <w:t xml:space="preserve"> The performance loss in fading channel for different shaping filter schemes are very similar. </w:t>
      </w:r>
    </w:p>
    <w:p w:rsidR="00F95593" w:rsidRPr="00F95593" w:rsidRDefault="00F95593" w:rsidP="00170DC2">
      <w:pPr>
        <w:rPr>
          <w:b/>
          <w:i/>
          <w:lang w:eastAsia="en-US"/>
        </w:rPr>
      </w:pPr>
      <w:r w:rsidRPr="00F95593">
        <w:rPr>
          <w:b/>
          <w:i/>
          <w:lang w:eastAsia="en-US"/>
        </w:rPr>
        <w:t xml:space="preserve">Proposal 1: </w:t>
      </w:r>
      <w:r>
        <w:rPr>
          <w:b/>
          <w:i/>
          <w:lang w:eastAsia="en-US"/>
        </w:rPr>
        <w:t xml:space="preserve">Shaping filter scheme is up to UE implementation, which should not be limited to certain type during the study </w:t>
      </w:r>
    </w:p>
    <w:p w:rsidR="00170DC2" w:rsidRPr="00170DC2" w:rsidRDefault="00170DC2" w:rsidP="00170DC2">
      <w:pPr>
        <w:pStyle w:val="Heading2"/>
        <w:spacing w:after="240"/>
        <w:rPr>
          <w:lang w:val="en-US"/>
        </w:rPr>
      </w:pPr>
      <w:r>
        <w:rPr>
          <w:lang w:val="en-US"/>
        </w:rPr>
        <w:t>Transparent vs non-transparent approach</w:t>
      </w:r>
    </w:p>
    <w:p w:rsidR="00170DC2" w:rsidRDefault="00170DC2" w:rsidP="005369EE">
      <w:pPr>
        <w:rPr>
          <w:kern w:val="2"/>
        </w:rPr>
      </w:pPr>
      <w:r>
        <w:rPr>
          <w:kern w:val="2"/>
        </w:rPr>
        <w:t xml:space="preserve">As we discussed in [3], Pi/2 BPSK with transparent approach in the specification is adopted in Rel-15. The TRX diagram of spec transparent approach is shown in </w:t>
      </w:r>
      <w:r w:rsidR="00FA7244">
        <w:rPr>
          <w:rFonts w:hint="eastAsia"/>
          <w:kern w:val="2"/>
        </w:rPr>
        <w:t>F</w:t>
      </w:r>
      <w:r>
        <w:rPr>
          <w:kern w:val="2"/>
        </w:rPr>
        <w:t>igure</w:t>
      </w:r>
      <w:r w:rsidR="00FA7244">
        <w:rPr>
          <w:kern w:val="2"/>
        </w:rPr>
        <w:t xml:space="preserve"> 2</w:t>
      </w:r>
      <w:r>
        <w:rPr>
          <w:kern w:val="2"/>
        </w:rPr>
        <w:t xml:space="preserve"> below. </w:t>
      </w:r>
    </w:p>
    <w:p w:rsidR="00170DC2" w:rsidRDefault="00170DC2" w:rsidP="00170DC2">
      <w:pPr>
        <w:jc w:val="center"/>
      </w:pPr>
      <w:r>
        <w:object w:dxaOrig="10931" w:dyaOrig="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9pt;height:142.85pt" o:ole="">
            <v:imagedata r:id="rId10" o:title=""/>
          </v:shape>
          <o:OLEObject Type="Embed" ProgID="Visio.Drawing.11" ShapeID="_x0000_i1025" DrawAspect="Content" ObjectID="_1689811760" r:id="rId11"/>
        </w:object>
      </w:r>
    </w:p>
    <w:p w:rsidR="00170DC2" w:rsidRPr="00AA2057" w:rsidRDefault="00170DC2" w:rsidP="00170DC2">
      <w:pPr>
        <w:jc w:val="center"/>
        <w:rPr>
          <w:rFonts w:ascii="Arial" w:hAnsi="Arial" w:cs="Arial"/>
          <w:kern w:val="2"/>
        </w:rPr>
      </w:pPr>
      <w:r w:rsidRPr="00AA2057">
        <w:rPr>
          <w:rFonts w:ascii="Arial" w:hAnsi="Arial" w:cs="Arial"/>
          <w:b/>
          <w:bCs/>
        </w:rPr>
        <w:lastRenderedPageBreak/>
        <w:t xml:space="preserve">Figure </w:t>
      </w:r>
      <w:r w:rsidR="00334C93">
        <w:rPr>
          <w:rFonts w:ascii="Arial" w:hAnsi="Arial" w:cs="Arial"/>
          <w:b/>
          <w:bCs/>
        </w:rPr>
        <w:t>2</w:t>
      </w:r>
      <w:r w:rsidRPr="00AA2057">
        <w:rPr>
          <w:rFonts w:ascii="Arial" w:hAnsi="Arial" w:cs="Arial"/>
          <w:b/>
          <w:bCs/>
        </w:rPr>
        <w:t>: TRX diagram of specification transparent approach</w:t>
      </w:r>
    </w:p>
    <w:p w:rsidR="005369EE" w:rsidRDefault="00170DC2" w:rsidP="005369EE">
      <w:pPr>
        <w:rPr>
          <w:kern w:val="2"/>
        </w:rPr>
      </w:pPr>
      <w:r>
        <w:rPr>
          <w:kern w:val="2"/>
        </w:rPr>
        <w:t xml:space="preserve">However, non-transparent approach was mentioned again during the discussion. As a comparison, Figure </w:t>
      </w:r>
      <w:r w:rsidR="00334C93">
        <w:rPr>
          <w:kern w:val="2"/>
        </w:rPr>
        <w:t>3</w:t>
      </w:r>
      <w:r>
        <w:rPr>
          <w:kern w:val="2"/>
        </w:rPr>
        <w:t xml:space="preserve"> shows the BLER results between these two approaches</w:t>
      </w:r>
      <w:r w:rsidR="005E6534">
        <w:rPr>
          <w:kern w:val="2"/>
        </w:rPr>
        <w:t xml:space="preserve"> (100MHz, 64RB)</w:t>
      </w:r>
      <w:r>
        <w:rPr>
          <w:kern w:val="2"/>
        </w:rPr>
        <w:t xml:space="preserve">. </w:t>
      </w:r>
      <w:r w:rsidR="005E2FF8">
        <w:rPr>
          <w:kern w:val="2"/>
        </w:rPr>
        <w:t xml:space="preserve">In the following evaluation, Pi/2 BPSK based DMRS is </w:t>
      </w:r>
      <w:proofErr w:type="spellStart"/>
      <w:r w:rsidR="005E2FF8">
        <w:rPr>
          <w:kern w:val="2"/>
        </w:rPr>
        <w:t>adopted.</w:t>
      </w:r>
      <w:r>
        <w:rPr>
          <w:kern w:val="2"/>
        </w:rPr>
        <w:t>It</w:t>
      </w:r>
      <w:proofErr w:type="spellEnd"/>
      <w:r>
        <w:rPr>
          <w:kern w:val="2"/>
        </w:rPr>
        <w:t xml:space="preserve"> can be observed that the demodulation performance in the transparent approach is almost the same as that of the non-transparent approach, regardless the FDSS filter being used.</w:t>
      </w:r>
    </w:p>
    <w:p w:rsidR="005E6534" w:rsidRDefault="005E6534" w:rsidP="00334C93">
      <w:pPr>
        <w:jc w:val="center"/>
        <w:rPr>
          <w:kern w:val="2"/>
        </w:rPr>
      </w:pPr>
      <w:r>
        <w:rPr>
          <w:noProof/>
          <w:lang w:val="en-US"/>
        </w:rPr>
        <w:drawing>
          <wp:inline distT="0" distB="0" distL="0" distR="0">
            <wp:extent cx="3248167" cy="2903129"/>
            <wp:effectExtent l="0" t="0" r="0" b="0"/>
            <wp:docPr id="1" name="Picture 1" descr="C:\Users\l00239623\AppData\Roaming\eSpace_Desktop\UserData\l00604212\imagefiles\F5392EEA-3E66-48B5-8ED0-BF45BAD2AA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00239623\AppData\Roaming\eSpace_Desktop\UserData\l00604212\imagefiles\F5392EEA-3E66-48B5-8ED0-BF45BAD2AAD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77421" cy="2929276"/>
                    </a:xfrm>
                    <a:prstGeom prst="rect">
                      <a:avLst/>
                    </a:prstGeom>
                    <a:noFill/>
                    <a:ln>
                      <a:noFill/>
                    </a:ln>
                  </pic:spPr>
                </pic:pic>
              </a:graphicData>
            </a:graphic>
          </wp:inline>
        </w:drawing>
      </w:r>
    </w:p>
    <w:p w:rsidR="00334C93" w:rsidRPr="00AA2057" w:rsidRDefault="00334C93" w:rsidP="00334C93">
      <w:pPr>
        <w:jc w:val="center"/>
        <w:rPr>
          <w:rFonts w:ascii="Arial" w:hAnsi="Arial" w:cs="Arial"/>
          <w:kern w:val="2"/>
        </w:rPr>
      </w:pPr>
      <w:r w:rsidRPr="00AA2057">
        <w:rPr>
          <w:rFonts w:ascii="Arial" w:hAnsi="Arial" w:cs="Arial"/>
          <w:b/>
          <w:bCs/>
        </w:rPr>
        <w:t xml:space="preserve">Figure </w:t>
      </w:r>
      <w:r>
        <w:rPr>
          <w:rFonts w:ascii="Arial" w:hAnsi="Arial" w:cs="Arial"/>
          <w:b/>
          <w:bCs/>
        </w:rPr>
        <w:t>3</w:t>
      </w:r>
      <w:r w:rsidRPr="00AA2057">
        <w:rPr>
          <w:rFonts w:ascii="Arial" w:hAnsi="Arial" w:cs="Arial"/>
          <w:b/>
          <w:bCs/>
        </w:rPr>
        <w:t xml:space="preserve">: </w:t>
      </w:r>
      <w:r w:rsidRPr="00334C93">
        <w:rPr>
          <w:rFonts w:ascii="Arial" w:hAnsi="Arial" w:cs="Arial"/>
          <w:b/>
          <w:bCs/>
        </w:rPr>
        <w:t>BLER performance of transparent and non-transparent approaches</w:t>
      </w:r>
    </w:p>
    <w:p w:rsidR="005369EE" w:rsidRDefault="005369EE" w:rsidP="005369EE">
      <w:pPr>
        <w:rPr>
          <w:b/>
          <w:i/>
          <w:lang w:val="en-US" w:eastAsia="en-US"/>
        </w:rPr>
      </w:pPr>
      <w:r>
        <w:rPr>
          <w:b/>
          <w:i/>
          <w:lang w:val="en-US" w:eastAsia="en-US"/>
        </w:rPr>
        <w:t xml:space="preserve">Observation </w:t>
      </w:r>
      <w:r w:rsidR="00F95593">
        <w:rPr>
          <w:b/>
          <w:i/>
          <w:lang w:val="en-US" w:eastAsia="en-US"/>
        </w:rPr>
        <w:t>4</w:t>
      </w:r>
      <w:r>
        <w:rPr>
          <w:b/>
          <w:i/>
          <w:lang w:val="en-US" w:eastAsia="en-US"/>
        </w:rPr>
        <w:t xml:space="preserve">: </w:t>
      </w:r>
      <w:r w:rsidR="00170DC2">
        <w:rPr>
          <w:b/>
          <w:i/>
          <w:lang w:val="en-US" w:eastAsia="en-US"/>
        </w:rPr>
        <w:t>S</w:t>
      </w:r>
      <w:r w:rsidR="00170DC2" w:rsidRPr="00170DC2">
        <w:rPr>
          <w:b/>
          <w:i/>
          <w:lang w:val="en-US" w:eastAsia="en-US"/>
        </w:rPr>
        <w:t xml:space="preserve">pecification </w:t>
      </w:r>
      <w:r w:rsidR="00537640">
        <w:rPr>
          <w:b/>
          <w:i/>
          <w:lang w:val="en-US" w:eastAsia="en-US"/>
        </w:rPr>
        <w:t xml:space="preserve">with </w:t>
      </w:r>
      <w:r w:rsidR="00170DC2" w:rsidRPr="00170DC2">
        <w:rPr>
          <w:b/>
          <w:i/>
          <w:lang w:val="en-US" w:eastAsia="en-US"/>
        </w:rPr>
        <w:t>transparent FDSS schemes, using pi/2-B</w:t>
      </w:r>
      <w:r w:rsidR="00170DC2">
        <w:rPr>
          <w:b/>
          <w:i/>
          <w:lang w:val="en-US" w:eastAsia="en-US"/>
        </w:rPr>
        <w:t xml:space="preserve">PSK with certain FDSS filters, </w:t>
      </w:r>
      <w:r w:rsidR="00170DC2" w:rsidRPr="00170DC2">
        <w:rPr>
          <w:b/>
          <w:i/>
          <w:lang w:val="en-US" w:eastAsia="en-US"/>
        </w:rPr>
        <w:t>don’t hurt much the demodulation performance at the receiver</w:t>
      </w:r>
    </w:p>
    <w:p w:rsidR="00167F84" w:rsidRPr="005369EE" w:rsidRDefault="00167F84" w:rsidP="005369EE">
      <w:pPr>
        <w:rPr>
          <w:b/>
          <w:i/>
          <w:lang w:val="en-US" w:eastAsia="en-US"/>
        </w:rPr>
      </w:pPr>
      <w:r w:rsidRPr="005369EE">
        <w:rPr>
          <w:b/>
          <w:i/>
          <w:lang w:val="en-US" w:eastAsia="en-US"/>
        </w:rPr>
        <w:t xml:space="preserve">Proposal </w:t>
      </w:r>
      <w:r w:rsidR="00F95593">
        <w:rPr>
          <w:b/>
          <w:i/>
          <w:lang w:val="en-US" w:eastAsia="en-US"/>
        </w:rPr>
        <w:t>2</w:t>
      </w:r>
      <w:r w:rsidRPr="005369EE">
        <w:rPr>
          <w:b/>
          <w:i/>
          <w:lang w:val="en-US" w:eastAsia="en-US"/>
        </w:rPr>
        <w:t>:</w:t>
      </w:r>
      <w:r w:rsidR="00EA1C60">
        <w:rPr>
          <w:b/>
          <w:i/>
          <w:lang w:val="en-US" w:eastAsia="en-US"/>
        </w:rPr>
        <w:t xml:space="preserve"> No need to re-consider the non-transparent approach in the specification</w:t>
      </w:r>
      <w:r w:rsidR="00537640">
        <w:rPr>
          <w:b/>
          <w:i/>
          <w:lang w:val="en-US" w:eastAsia="en-US"/>
        </w:rPr>
        <w:t>, and FDSS filter should not be specified in the specification, which is an implementation issue</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F95593">
        <w:t>link level evaluation based on simulation assumptions discussed in last meeting. Based on the results, we have the following observations and proposals for the shaping filter schemes:</w:t>
      </w:r>
    </w:p>
    <w:p w:rsidR="00F95593" w:rsidRPr="00F95593" w:rsidRDefault="00F95593" w:rsidP="00F95593">
      <w:pPr>
        <w:rPr>
          <w:b/>
          <w:kern w:val="2"/>
        </w:rPr>
      </w:pPr>
      <w:r w:rsidRPr="00F95593">
        <w:rPr>
          <w:b/>
          <w:bCs/>
          <w:i/>
        </w:rPr>
        <w:t xml:space="preserve">Observation </w:t>
      </w:r>
      <w:r>
        <w:rPr>
          <w:b/>
          <w:bCs/>
          <w:i/>
        </w:rPr>
        <w:t>1</w:t>
      </w:r>
      <w:r w:rsidRPr="00F95593">
        <w:rPr>
          <w:b/>
          <w:bCs/>
          <w:i/>
        </w:rPr>
        <w:t xml:space="preserve">: </w:t>
      </w:r>
      <w:r>
        <w:rPr>
          <w:b/>
          <w:bCs/>
          <w:i/>
        </w:rPr>
        <w:t>Shaping filter</w:t>
      </w:r>
      <w:r w:rsidRPr="00F95593">
        <w:rPr>
          <w:b/>
          <w:bCs/>
          <w:i/>
        </w:rPr>
        <w:t xml:space="preserve"> schemes suffer from demodulation</w:t>
      </w:r>
      <w:r w:rsidRPr="00F95593">
        <w:rPr>
          <w:rFonts w:hint="eastAsia"/>
          <w:b/>
          <w:bCs/>
          <w:i/>
        </w:rPr>
        <w:t xml:space="preserve"> degradation</w:t>
      </w:r>
      <w:r w:rsidRPr="00F95593">
        <w:rPr>
          <w:b/>
          <w:bCs/>
          <w:i/>
        </w:rPr>
        <w:t xml:space="preserve"> in fading channels, and the performance loss can be alleviated by bandwidth allocation or FDSS filter optimization.</w:t>
      </w:r>
    </w:p>
    <w:p w:rsidR="00F95593" w:rsidRDefault="00F95593" w:rsidP="00F95593">
      <w:pPr>
        <w:rPr>
          <w:b/>
          <w:i/>
          <w:kern w:val="2"/>
        </w:rPr>
      </w:pPr>
      <w:r w:rsidRPr="00F95593">
        <w:rPr>
          <w:b/>
          <w:i/>
          <w:kern w:val="2"/>
        </w:rPr>
        <w:t>Observation 2:</w:t>
      </w:r>
      <w:r w:rsidRPr="00F95593">
        <w:rPr>
          <w:b/>
          <w:kern w:val="2"/>
        </w:rPr>
        <w:t xml:space="preserve"> </w:t>
      </w:r>
      <w:r w:rsidRPr="00F95593">
        <w:rPr>
          <w:b/>
          <w:i/>
          <w:kern w:val="2"/>
        </w:rPr>
        <w:t>The FDSS filter design trades</w:t>
      </w:r>
      <w:r w:rsidRPr="00F95593">
        <w:rPr>
          <w:rFonts w:hint="eastAsia"/>
          <w:b/>
          <w:i/>
          <w:kern w:val="2"/>
        </w:rPr>
        <w:t xml:space="preserve"> </w:t>
      </w:r>
      <w:r w:rsidRPr="00F95593">
        <w:rPr>
          <w:b/>
          <w:i/>
          <w:kern w:val="2"/>
        </w:rPr>
        <w:t>off between the PAPR performance at the transmitter and the receiver demodulation performance.</w:t>
      </w:r>
    </w:p>
    <w:p w:rsidR="00F95593" w:rsidRPr="00F95593" w:rsidRDefault="00F95593" w:rsidP="00F95593">
      <w:pPr>
        <w:rPr>
          <w:b/>
          <w:i/>
          <w:kern w:val="2"/>
        </w:rPr>
      </w:pPr>
      <w:r>
        <w:rPr>
          <w:b/>
          <w:i/>
          <w:kern w:val="2"/>
        </w:rPr>
        <w:t>Observation 3</w:t>
      </w:r>
      <w:r>
        <w:rPr>
          <w:rFonts w:hint="eastAsia"/>
          <w:b/>
          <w:i/>
          <w:kern w:val="2"/>
        </w:rPr>
        <w:t>:</w:t>
      </w:r>
      <w:r>
        <w:rPr>
          <w:b/>
          <w:i/>
          <w:kern w:val="2"/>
        </w:rPr>
        <w:t xml:space="preserve"> The performance loss in fading channel for different shaping filter schemes are very similar. </w:t>
      </w:r>
    </w:p>
    <w:p w:rsidR="00F95593" w:rsidRDefault="00F95593" w:rsidP="00F95593">
      <w:pPr>
        <w:rPr>
          <w:b/>
          <w:i/>
          <w:lang w:eastAsia="en-US"/>
        </w:rPr>
      </w:pPr>
      <w:r w:rsidRPr="00F95593">
        <w:rPr>
          <w:b/>
          <w:i/>
          <w:lang w:eastAsia="en-US"/>
        </w:rPr>
        <w:t xml:space="preserve">Proposal 1: </w:t>
      </w:r>
      <w:r>
        <w:rPr>
          <w:b/>
          <w:i/>
          <w:lang w:eastAsia="en-US"/>
        </w:rPr>
        <w:t xml:space="preserve">Shaping filter scheme is up to UE implementation, which should not be limited to certain type during the study </w:t>
      </w:r>
    </w:p>
    <w:p w:rsidR="00F95593" w:rsidRDefault="00F95593" w:rsidP="00F95593">
      <w:pPr>
        <w:rPr>
          <w:b/>
          <w:i/>
          <w:lang w:val="en-US" w:eastAsia="en-US"/>
        </w:rPr>
      </w:pPr>
      <w:r>
        <w:rPr>
          <w:b/>
          <w:i/>
          <w:lang w:val="en-US" w:eastAsia="en-US"/>
        </w:rPr>
        <w:t>Observation 4: S</w:t>
      </w:r>
      <w:r w:rsidRPr="00170DC2">
        <w:rPr>
          <w:b/>
          <w:i/>
          <w:lang w:val="en-US" w:eastAsia="en-US"/>
        </w:rPr>
        <w:t xml:space="preserve">pecification </w:t>
      </w:r>
      <w:r>
        <w:rPr>
          <w:b/>
          <w:i/>
          <w:lang w:val="en-US" w:eastAsia="en-US"/>
        </w:rPr>
        <w:t xml:space="preserve">with </w:t>
      </w:r>
      <w:r w:rsidRPr="00170DC2">
        <w:rPr>
          <w:b/>
          <w:i/>
          <w:lang w:val="en-US" w:eastAsia="en-US"/>
        </w:rPr>
        <w:t>transparent FDSS schemes, using pi/2-B</w:t>
      </w:r>
      <w:r>
        <w:rPr>
          <w:b/>
          <w:i/>
          <w:lang w:val="en-US" w:eastAsia="en-US"/>
        </w:rPr>
        <w:t xml:space="preserve">PSK with certain FDSS filters, </w:t>
      </w:r>
      <w:r w:rsidRPr="00170DC2">
        <w:rPr>
          <w:b/>
          <w:i/>
          <w:lang w:val="en-US" w:eastAsia="en-US"/>
        </w:rPr>
        <w:t>don’t hurt much the demodulation performance at the receiver</w:t>
      </w:r>
    </w:p>
    <w:p w:rsidR="00F95593" w:rsidRDefault="00F95593" w:rsidP="00F95593">
      <w:pPr>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No need to re-consider the non-transparent approach in the specification, and FDSS filter should not be specified in the specification, which is an implementation issue</w:t>
      </w:r>
    </w:p>
    <w:p w:rsidR="00F95593" w:rsidRPr="005369EE" w:rsidRDefault="00F95593" w:rsidP="00F95593">
      <w:pPr>
        <w:rPr>
          <w:b/>
          <w:i/>
          <w:lang w:val="en-US" w:eastAsia="en-US"/>
        </w:rPr>
      </w:pPr>
    </w:p>
    <w:p w:rsidR="00B22DA6" w:rsidRDefault="00B22DA6" w:rsidP="00B22DA6">
      <w:pPr>
        <w:pStyle w:val="Heading1"/>
        <w:numPr>
          <w:ilvl w:val="0"/>
          <w:numId w:val="0"/>
        </w:numPr>
        <w:rPr>
          <w:rFonts w:eastAsia="宋体"/>
          <w:lang w:eastAsia="zh-CN"/>
        </w:rPr>
      </w:pPr>
      <w:r>
        <w:lastRenderedPageBreak/>
        <w:t>References</w:t>
      </w:r>
    </w:p>
    <w:p w:rsidR="00C53757" w:rsidRDefault="0035262B" w:rsidP="00F71A33">
      <w:r>
        <w:rPr>
          <w:rFonts w:hint="eastAsia"/>
        </w:rPr>
        <w:t>[1]</w:t>
      </w:r>
      <w:r w:rsidR="005369EE">
        <w:t xml:space="preserve"> </w:t>
      </w:r>
      <w:r w:rsidR="00B05213" w:rsidRPr="00527593">
        <w:t>R4-2108018</w:t>
      </w:r>
      <w:r w:rsidR="00B05213">
        <w:t>,</w:t>
      </w:r>
      <w:r w:rsidR="00B05213" w:rsidRPr="00527593">
        <w:t xml:space="preserve"> WF on waveform configuration, parameters for link simulations and agreements</w:t>
      </w:r>
      <w:r w:rsidR="00B05213">
        <w:t>, Qualcomm</w:t>
      </w:r>
    </w:p>
    <w:p w:rsidR="00170DC2" w:rsidRDefault="00170DC2" w:rsidP="00F71A33">
      <w:r>
        <w:t xml:space="preserve">[2] </w:t>
      </w:r>
      <w:r w:rsidR="0045793C" w:rsidRPr="0045793C">
        <w:t>R4-2114518</w:t>
      </w:r>
      <w:r>
        <w:t>,</w:t>
      </w:r>
      <w:r w:rsidRPr="00170DC2">
        <w:t xml:space="preserve"> Shapin</w:t>
      </w:r>
      <w:r>
        <w:t>g filter characteristics for Pi/</w:t>
      </w:r>
      <w:r w:rsidRPr="00170DC2">
        <w:t>2 BPSK</w:t>
      </w:r>
      <w:r>
        <w:t xml:space="preserve">, Huawei, </w:t>
      </w:r>
      <w:proofErr w:type="spellStart"/>
      <w:r>
        <w:t>HiSilicon</w:t>
      </w:r>
      <w:proofErr w:type="spellEnd"/>
    </w:p>
    <w:p w:rsidR="00170DC2" w:rsidRDefault="00170DC2" w:rsidP="00F71A33">
      <w:r>
        <w:t xml:space="preserve">[3] </w:t>
      </w:r>
      <w:r w:rsidRPr="00170DC2">
        <w:t>R4-2111449</w:t>
      </w:r>
      <w:r>
        <w:t>,</w:t>
      </w:r>
      <w:r w:rsidRPr="00170DC2">
        <w:t xml:space="preserve"> On feasibility of power enhancement for Pi_2 BPSK</w:t>
      </w:r>
      <w:r>
        <w:t xml:space="preserve">, Huawei, </w:t>
      </w:r>
      <w:proofErr w:type="spellStart"/>
      <w:r>
        <w:t>HiS</w:t>
      </w:r>
      <w:r w:rsidR="005F653E">
        <w:t>i</w:t>
      </w:r>
      <w:bookmarkStart w:id="2" w:name="_GoBack"/>
      <w:bookmarkEnd w:id="2"/>
      <w:r>
        <w:t>licon</w:t>
      </w:r>
      <w:proofErr w:type="spellEnd"/>
    </w:p>
    <w:sectPr w:rsidR="00170DC2"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BB0" w:rsidRDefault="00A67BB0" w:rsidP="0052762B">
      <w:r>
        <w:separator/>
      </w:r>
    </w:p>
  </w:endnote>
  <w:endnote w:type="continuationSeparator" w:id="0">
    <w:p w:rsidR="00A67BB0" w:rsidRDefault="00A67BB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BB0" w:rsidRDefault="00A67BB0" w:rsidP="0052762B">
      <w:r>
        <w:separator/>
      </w:r>
    </w:p>
  </w:footnote>
  <w:footnote w:type="continuationSeparator" w:id="0">
    <w:p w:rsidR="00A67BB0" w:rsidRDefault="00A67BB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5CE7706"/>
    <w:multiLevelType w:val="hybridMultilevel"/>
    <w:tmpl w:val="2B84B75E"/>
    <w:lvl w:ilvl="0" w:tplc="69E05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29F7D14"/>
    <w:multiLevelType w:val="hybridMultilevel"/>
    <w:tmpl w:val="02FCCA8C"/>
    <w:lvl w:ilvl="0" w:tplc="E294D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3"/>
  </w:num>
  <w:num w:numId="3">
    <w:abstractNumId w:val="28"/>
  </w:num>
  <w:num w:numId="4">
    <w:abstractNumId w:val="38"/>
  </w:num>
  <w:num w:numId="5">
    <w:abstractNumId w:val="1"/>
  </w:num>
  <w:num w:numId="6">
    <w:abstractNumId w:val="37"/>
  </w:num>
  <w:num w:numId="7">
    <w:abstractNumId w:val="18"/>
  </w:num>
  <w:num w:numId="8">
    <w:abstractNumId w:val="31"/>
  </w:num>
  <w:num w:numId="9">
    <w:abstractNumId w:val="41"/>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1"/>
  </w:num>
  <w:num w:numId="19">
    <w:abstractNumId w:val="27"/>
  </w:num>
  <w:num w:numId="20">
    <w:abstractNumId w:val="25"/>
  </w:num>
  <w:num w:numId="21">
    <w:abstractNumId w:val="15"/>
  </w:num>
  <w:num w:numId="22">
    <w:abstractNumId w:val="5"/>
  </w:num>
  <w:num w:numId="23">
    <w:abstractNumId w:val="24"/>
  </w:num>
  <w:num w:numId="24">
    <w:abstractNumId w:val="36"/>
  </w:num>
  <w:num w:numId="25">
    <w:abstractNumId w:val="8"/>
  </w:num>
  <w:num w:numId="26">
    <w:abstractNumId w:val="35"/>
  </w:num>
  <w:num w:numId="27">
    <w:abstractNumId w:val="34"/>
  </w:num>
  <w:num w:numId="28">
    <w:abstractNumId w:val="19"/>
  </w:num>
  <w:num w:numId="29">
    <w:abstractNumId w:val="40"/>
  </w:num>
  <w:num w:numId="30">
    <w:abstractNumId w:val="29"/>
  </w:num>
  <w:num w:numId="31">
    <w:abstractNumId w:val="17"/>
  </w:num>
  <w:num w:numId="32">
    <w:abstractNumId w:val="32"/>
  </w:num>
  <w:num w:numId="33">
    <w:abstractNumId w:val="6"/>
  </w:num>
  <w:num w:numId="34">
    <w:abstractNumId w:val="9"/>
  </w:num>
  <w:num w:numId="35">
    <w:abstractNumId w:val="33"/>
  </w:num>
  <w:num w:numId="36">
    <w:abstractNumId w:val="20"/>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9"/>
  </w:num>
  <w:num w:numId="4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D19"/>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4CF"/>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0DC2"/>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3FF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2FDA"/>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4C9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3C"/>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567"/>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640"/>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FF8"/>
    <w:rsid w:val="005E423C"/>
    <w:rsid w:val="005E4410"/>
    <w:rsid w:val="005E4829"/>
    <w:rsid w:val="005E4EA1"/>
    <w:rsid w:val="005E5E8F"/>
    <w:rsid w:val="005E611E"/>
    <w:rsid w:val="005E6534"/>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53E"/>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55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BB0"/>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5213"/>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8DB"/>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446"/>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E2C"/>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1C6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593"/>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244"/>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styleId="GridTable4-Accent3">
    <w:name w:val="Grid Table 4 Accent 3"/>
    <w:basedOn w:val="TableNormal"/>
    <w:uiPriority w:val="49"/>
    <w:rsid w:val="00CF744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CF744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6515">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5269753">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1020373">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3111328">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E3D34-CB76-41B4-BA5B-891D74C37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4</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2021-08-06T09:41:00Z</dcterms:created>
  <dcterms:modified xsi:type="dcterms:W3CDTF">2021-08-06T19:23:00Z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(3)6YnKF4TQueDp1sI80pCFaO/1huZaDzxXf0ZezqxtjGl6UQeGC1FiPgH1JSyjAun2er1GpZZy
+q12jWEaSpxeSmyz0C3b3qzmkvxbKL9SFGjldYehBpcoDJ24dj8sxnJJai0vuur6Q67MBkXM
RNA6G8TbzasSnMs9M3Yyb6M5mIvZ9n+gRd5Z6tFaPzNrrwct6LDa3xacQxz+lucbONXb5/Zv
E/f/W1hCA52exuJqPq</vt:lpwstr>
  </property>
  <property fmtid="{D5CDD505-2E9C-101B-9397-08002B2CF9AE}" pid="15" name="_2015_ms_pID_725343_00">
    <vt:lpwstr>_2015_ms_pID_725343</vt:lpwstr>
  </property>
  <property fmtid="{D5CDD505-2E9C-101B-9397-08002B2CF9AE}" pid="16" name="_2015_ms_pID_7253431">
    <vt:lpwstr>8RgqSTOsttD3sNmP/ukin8/rqM2EwYt+2AoHLribZZfB5nikUUt4/B
wIa1JP/6ycgXvrJ39KOP6Ws0ZlL22uo7CRDjNLEmap2Rnyb7uivxxpVj2f0A1AA+glx32vaG
lmcT4077IPDNnGhtnhbVHyhTL9V8NULvercxL743+8wB1DB93kmd9CGvE1Vq5LXZa9E1hLpD
HvcKtU0UfwyN+PwGyKqboy4FCmV2vFuu/tS7</vt:lpwstr>
  </property>
  <property fmtid="{D5CDD505-2E9C-101B-9397-08002B2CF9AE}" pid="17" name="_2015_ms_pID_7253431_00">
    <vt:lpwstr>_2015_ms_pID_7253431</vt:lpwstr>
  </property>
  <property fmtid="{D5CDD505-2E9C-101B-9397-08002B2CF9AE}" pid="18" name="_2015_ms_pID_7253432">
    <vt:lpwstr>Ew5XARzclMkAOyhHS89mwxo=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